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bidi w:val="0"/>
        <w:spacing w:before="0" w:after="200" w:line="300" w:lineRule="auto"/>
        <w:ind w:left="0" w:right="0" w:firstLine="0"/>
        <w:jc w:val="center"/>
        <w:outlineLvl w:val="0"/>
        <w:rPr>
          <w:rFonts w:ascii="Calibri" w:cs="Calibri" w:hAnsi="Calibri" w:eastAsia="Calibri"/>
          <w:b w:val="1"/>
          <w:bCs w:val="1"/>
          <w:caps w:val="1"/>
          <w:sz w:val="22"/>
          <w:szCs w:val="22"/>
          <w:u w:color="000000"/>
          <w:rtl w:val="0"/>
        </w:rPr>
      </w:pPr>
      <w:r>
        <w:rPr>
          <w:rFonts w:ascii="Calibri" w:hAnsi="Calibri"/>
          <w:b w:val="1"/>
          <w:bCs w:val="1"/>
          <w:caps w:val="1"/>
          <w:sz w:val="22"/>
          <w:szCs w:val="22"/>
          <w:u w:color="000000"/>
          <w:rtl w:val="0"/>
        </w:rPr>
        <w:t>model provisions of the terms and conditions</w:t>
      </w:r>
    </w:p>
    <w:p>
      <w:pPr>
        <w:pStyle w:val="Default"/>
        <w:numPr>
          <w:ilvl w:val="0"/>
          <w:numId w:val="2"/>
        </w:numPr>
        <w:bidi w:val="0"/>
        <w:spacing w:before="0" w:after="200" w:line="300" w:lineRule="auto"/>
        <w:ind w:right="0"/>
        <w:jc w:val="both"/>
        <w:outlineLvl w:val="0"/>
        <w:rPr>
          <w:rFonts w:ascii="Calibri" w:hAnsi="Calibri"/>
          <w:b w:val="1"/>
          <w:bCs w:val="1"/>
          <w:caps w:val="1"/>
          <w:sz w:val="22"/>
          <w:szCs w:val="22"/>
          <w:u w:color="000000"/>
          <w:rtl w:val="0"/>
        </w:rPr>
      </w:pPr>
      <w:r>
        <w:rPr>
          <w:rFonts w:ascii="Calibri" w:hAnsi="Calibri"/>
          <w:b w:val="1"/>
          <w:bCs w:val="1"/>
          <w:caps w:val="1"/>
          <w:sz w:val="22"/>
          <w:szCs w:val="22"/>
          <w:u w:color="000000"/>
          <w:rtl w:val="0"/>
        </w:rPr>
        <w:t>DEFINITION</w:t>
      </w:r>
    </w:p>
    <w:p>
      <w:pPr>
        <w:keepNext w:val="0"/>
        <w:keepLines w:val="0"/>
        <w:pageBreakBefore w:val="0"/>
        <w:widowControl w:val="1"/>
        <w:numPr>
          <w:ilvl w:val="1"/>
          <w:numId w:val="2"/>
        </w:numPr>
        <w:shd w:val="clear" w:color="auto" w:fill="auto"/>
        <w:suppressAutoHyphens w:val="0"/>
        <w:bidi w:val="0"/>
        <w:spacing w:before="0" w:after="200" w:line="300" w:lineRule="auto"/>
        <w:ind w:right="0"/>
        <w:jc w:val="both"/>
        <w:outlineLvl w:val="1"/>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Definition of key terms: </w:t>
      </w:r>
    </w:p>
    <w:p>
      <w:pPr>
        <w:keepNext w:val="0"/>
        <w:keepLines w:val="0"/>
        <w:pageBreakBefore w:val="0"/>
        <w:widowControl w:val="1"/>
        <w:numPr>
          <w:ilvl w:val="0"/>
          <w:numId w:val="4"/>
        </w:numPr>
        <w:shd w:val="clear" w:color="auto" w:fill="auto"/>
        <w:suppressAutoHyphens w:val="0"/>
        <w:bidi w:val="0"/>
        <w:spacing w:before="0" w:after="200" w:line="300" w:lineRule="auto"/>
        <w:ind w:right="0"/>
        <w:jc w:val="both"/>
        <w:outlineLvl w:val="1"/>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Add-on</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a solution through which it is possible to connect Shoptet with external services</w:t>
      </w:r>
    </w:p>
    <w:p>
      <w:pPr>
        <w:keepNext w:val="0"/>
        <w:keepLines w:val="0"/>
        <w:pageBreakBefore w:val="0"/>
        <w:widowControl w:val="1"/>
        <w:numPr>
          <w:ilvl w:val="0"/>
          <w:numId w:val="4"/>
        </w:numPr>
        <w:shd w:val="clear" w:color="auto" w:fill="auto"/>
        <w:suppressAutoHyphens w:val="0"/>
        <w:bidi w:val="0"/>
        <w:spacing w:before="0" w:after="200" w:line="300" w:lineRule="auto"/>
        <w:ind w:right="0"/>
        <w:jc w:val="both"/>
        <w:outlineLvl w:val="1"/>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Product page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the website of the Add-on - https://doplnky.shoptet.cz/[-]/</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00"/>
          <w:vertAlign w:val="baseline"/>
          <w:rtl w:val="0"/>
          <w:lang w:val="pt-PT"/>
          <w14:textOutline>
            <w14:noFill/>
          </w14:textOutline>
          <w14:textFill>
            <w14:solidFill>
              <w14:srgbClr w14:val="000000"/>
            </w14:solidFill>
          </w14:textFill>
        </w:rPr>
        <w: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clear" w:color="auto" w:fill="ffff00"/>
          <w:vertAlign w:val="baseline"/>
          <w:rtl w:val="0"/>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00"/>
          <w:vertAlign w:val="baseline"/>
          <w:rtl w:val="0"/>
          <w:lang w:val="pt-P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w:t>
      </w:r>
    </w:p>
    <w:p>
      <w:pPr>
        <w:keepNext w:val="0"/>
        <w:keepLines w:val="0"/>
        <w:pageBreakBefore w:val="0"/>
        <w:widowControl w:val="1"/>
        <w:numPr>
          <w:ilvl w:val="0"/>
          <w:numId w:val="4"/>
        </w:numPr>
        <w:shd w:val="clear" w:color="auto" w:fill="auto"/>
        <w:suppressAutoHyphens w:val="0"/>
        <w:bidi w:val="0"/>
        <w:spacing w:before="0" w:after="200" w:line="300" w:lineRule="auto"/>
        <w:ind w:right="0"/>
        <w:jc w:val="both"/>
        <w:outlineLvl w:val="1"/>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de-DE"/>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de-DE"/>
          <w14:textOutline>
            <w14:noFill/>
          </w14:textOutline>
          <w14:textFill>
            <w14:solidFill>
              <w14:srgbClr w14:val="000000"/>
            </w14:solidFill>
          </w14:textFill>
        </w:rPr>
        <w:t>Shoptet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 –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Shoptet, a.s., with</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 its</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registered office at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Dvo</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ř</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eck</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fr-FR"/>
          <w14:textOutline>
            <w14:noFill/>
          </w14:textOutline>
          <w14:textFill>
            <w14:solidFill>
              <w14:srgbClr w14:val="000000"/>
            </w14:solidFill>
          </w14:textFill>
        </w:rPr>
        <w:t>é</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ho 628/8, B</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ř</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evnov, 169 00 Pra</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gue</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 6, I</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D</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28935675, registered at the Municipal Court in Prague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under section</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 B 25395</w:t>
      </w:r>
    </w:p>
    <w:p>
      <w:pPr>
        <w:pStyle w:val="Default"/>
        <w:numPr>
          <w:ilvl w:val="0"/>
          <w:numId w:val="5"/>
        </w:numPr>
        <w:bidi w:val="0"/>
        <w:spacing w:before="0" w:after="200" w:line="300" w:lineRule="auto"/>
        <w:ind w:right="0"/>
        <w:jc w:val="both"/>
        <w:outlineLvl w:val="0"/>
        <w:rPr>
          <w:rFonts w:ascii="Calibri" w:hAnsi="Calibri"/>
          <w:b w:val="1"/>
          <w:bCs w:val="1"/>
          <w:caps w:val="1"/>
          <w:sz w:val="22"/>
          <w:szCs w:val="22"/>
          <w:u w:color="000000"/>
          <w:rtl w:val="0"/>
        </w:rPr>
      </w:pPr>
      <w:r>
        <w:rPr>
          <w:rFonts w:ascii="Calibri" w:hAnsi="Calibri"/>
          <w:b w:val="1"/>
          <w:bCs w:val="1"/>
          <w:caps w:val="1"/>
          <w:sz w:val="22"/>
          <w:szCs w:val="22"/>
          <w:u w:color="000000"/>
          <w:rtl w:val="0"/>
        </w:rPr>
        <w:t>INTRODUCTORY PROVISIONS</w:t>
      </w:r>
    </w:p>
    <w:p>
      <w:pPr>
        <w:keepNext w:val="0"/>
        <w:keepLines w:val="0"/>
        <w:pageBreakBefore w:val="0"/>
        <w:widowControl w:val="1"/>
        <w:numPr>
          <w:ilvl w:val="1"/>
          <w:numId w:val="5"/>
        </w:numPr>
        <w:shd w:val="clear" w:color="auto" w:fill="auto"/>
        <w:suppressAutoHyphens w:val="0"/>
        <w:bidi w:val="0"/>
        <w:spacing w:before="0" w:after="200" w:line="300" w:lineRule="auto"/>
        <w:ind w:right="0"/>
        <w:jc w:val="both"/>
        <w:outlineLvl w:val="1"/>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On the basis of these Terms and Conditions, the Provider provides the User with the Add-on and all services related to it.</w:t>
      </w:r>
    </w:p>
    <w:p>
      <w:pPr>
        <w:keepNext w:val="0"/>
        <w:keepLines w:val="0"/>
        <w:pageBreakBefore w:val="0"/>
        <w:widowControl w:val="1"/>
        <w:numPr>
          <w:ilvl w:val="1"/>
          <w:numId w:val="5"/>
        </w:numPr>
        <w:shd w:val="clear" w:color="auto" w:fill="auto"/>
        <w:suppressAutoHyphens w:val="0"/>
        <w:bidi w:val="0"/>
        <w:spacing w:before="0" w:after="200" w:line="300" w:lineRule="auto"/>
        <w:ind w:right="0"/>
        <w:jc w:val="both"/>
        <w:outlineLvl w:val="1"/>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Provider provides the Add-on to the User on its own account and responsibility. Shoptet is not the provider of the Add-on and is not responsible for the Add-on or its content.</w:t>
      </w:r>
    </w:p>
    <w:p>
      <w:pPr>
        <w:keepNext w:val="0"/>
        <w:keepLines w:val="0"/>
        <w:pageBreakBefore w:val="0"/>
        <w:widowControl w:val="1"/>
        <w:numPr>
          <w:ilvl w:val="1"/>
          <w:numId w:val="5"/>
        </w:numPr>
        <w:shd w:val="clear" w:color="auto" w:fill="auto"/>
        <w:suppressAutoHyphens w:val="0"/>
        <w:bidi w:val="0"/>
        <w:spacing w:before="0" w:after="200" w:line="300" w:lineRule="auto"/>
        <w:ind w:right="0"/>
        <w:jc w:val="both"/>
        <w:outlineLvl w:val="1"/>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User hereby acknowledges and explicitly agrees that Shoptet is not obliged to provide any support or maintenance services in relation to the Add-on and is not responsible for the settlement of claims of the User or any third party in relation to the Provider and/or the Add-on operated by the Provider, whether arising from liability for defects, damages or breach of legal regulations, in particular in the field of personal data processing or other rights.</w:t>
      </w:r>
    </w:p>
    <w:p>
      <w:pPr>
        <w:pStyle w:val="Default"/>
        <w:keepNext w:val="1"/>
        <w:keepLines w:val="1"/>
        <w:numPr>
          <w:ilvl w:val="0"/>
          <w:numId w:val="5"/>
        </w:numPr>
        <w:bidi w:val="0"/>
        <w:spacing w:before="0" w:after="200" w:line="300" w:lineRule="auto"/>
        <w:ind w:right="0"/>
        <w:jc w:val="both"/>
        <w:outlineLvl w:val="0"/>
        <w:rPr>
          <w:rFonts w:ascii="Calibri" w:hAnsi="Calibri"/>
          <w:b w:val="1"/>
          <w:bCs w:val="1"/>
          <w:caps w:val="1"/>
          <w:sz w:val="22"/>
          <w:szCs w:val="22"/>
          <w:u w:color="000000"/>
          <w:rtl w:val="0"/>
          <w:lang w:val="de-DE"/>
        </w:rPr>
      </w:pPr>
      <w:r>
        <w:rPr>
          <w:rFonts w:ascii="Calibri" w:hAnsi="Calibri"/>
          <w:b w:val="1"/>
          <w:bCs w:val="1"/>
          <w:caps w:val="1"/>
          <w:sz w:val="22"/>
          <w:szCs w:val="22"/>
          <w:u w:color="000000"/>
          <w:rtl w:val="0"/>
          <w:lang w:val="de-DE"/>
        </w:rPr>
        <w:t>LICENSING ARRANGEMENTS</w:t>
      </w:r>
    </w:p>
    <w:p>
      <w:pPr>
        <w:keepNext w:val="0"/>
        <w:keepLines w:val="0"/>
        <w:pageBreakBefore w:val="0"/>
        <w:widowControl w:val="1"/>
        <w:numPr>
          <w:ilvl w:val="1"/>
          <w:numId w:val="5"/>
        </w:numPr>
        <w:shd w:val="clear" w:color="auto" w:fill="auto"/>
        <w:suppressAutoHyphens w:val="0"/>
        <w:bidi w:val="0"/>
        <w:spacing w:before="0" w:after="200" w:line="300" w:lineRule="auto"/>
        <w:ind w:right="0"/>
        <w:jc w:val="both"/>
        <w:outlineLvl w:val="1"/>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Provider hereby grants the User a non-exclusive license (authorization) to use the Add-on.</w:t>
      </w:r>
    </w:p>
    <w:p>
      <w:pPr>
        <w:pStyle w:val="Default"/>
        <w:numPr>
          <w:ilvl w:val="0"/>
          <w:numId w:val="2"/>
        </w:numPr>
        <w:bidi w:val="0"/>
        <w:spacing w:before="0" w:after="200" w:line="300" w:lineRule="auto"/>
        <w:ind w:right="0"/>
        <w:jc w:val="both"/>
        <w:outlineLvl w:val="0"/>
        <w:rPr>
          <w:rFonts w:ascii="Calibri" w:hAnsi="Calibri"/>
          <w:b w:val="1"/>
          <w:bCs w:val="1"/>
          <w:caps w:val="1"/>
          <w:sz w:val="22"/>
          <w:szCs w:val="22"/>
          <w:u w:color="000000"/>
          <w:rtl w:val="0"/>
        </w:rPr>
      </w:pPr>
      <w:r>
        <w:rPr>
          <w:rFonts w:ascii="Calibri" w:hAnsi="Calibri"/>
          <w:b w:val="1"/>
          <w:bCs w:val="1"/>
          <w:caps w:val="1"/>
          <w:sz w:val="22"/>
          <w:szCs w:val="22"/>
          <w:u w:color="000000"/>
          <w:rtl w:val="0"/>
        </w:rPr>
        <w:t>OPERATION PARAMETERS</w:t>
      </w:r>
    </w:p>
    <w:p>
      <w:pPr>
        <w:keepNext w:val="0"/>
        <w:keepLines w:val="0"/>
        <w:pageBreakBefore w:val="0"/>
        <w:widowControl w:val="1"/>
        <w:numPr>
          <w:ilvl w:val="1"/>
          <w:numId w:val="2"/>
        </w:numPr>
        <w:shd w:val="clear" w:color="auto" w:fill="auto"/>
        <w:suppressAutoHyphens w:val="0"/>
        <w:bidi w:val="0"/>
        <w:spacing w:before="0" w:after="200" w:line="300" w:lineRule="auto"/>
        <w:ind w:right="0"/>
        <w:jc w:val="both"/>
        <w:outlineLvl w:val="1"/>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The Provider undertakes to provide the Add-on in such a way that it will be available via the Internet at least 99% of the time in each calendar month. </w:t>
      </w:r>
    </w:p>
    <w:p>
      <w:pPr>
        <w:keepNext w:val="0"/>
        <w:keepLines w:val="0"/>
        <w:pageBreakBefore w:val="0"/>
        <w:widowControl w:val="1"/>
        <w:numPr>
          <w:ilvl w:val="1"/>
          <w:numId w:val="2"/>
        </w:numPr>
        <w:shd w:val="clear" w:color="auto" w:fill="auto"/>
        <w:suppressAutoHyphens w:val="0"/>
        <w:bidi w:val="0"/>
        <w:spacing w:before="0" w:after="200" w:line="300" w:lineRule="auto"/>
        <w:ind w:right="0"/>
        <w:jc w:val="both"/>
        <w:outlineLvl w:val="1"/>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Add-on is deemed to be available if it can be used properly, i.e. without any difficulties, malfunctions or defects, for the purpose stated on its Product Page.</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The period of time during which the standard lockouts and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downtime</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under the following paragraph last shall not be included in the total time for which the extent of availability is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considered</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w:t>
      </w:r>
    </w:p>
    <w:p>
      <w:pPr>
        <w:keepNext w:val="0"/>
        <w:keepLines w:val="0"/>
        <w:pageBreakBefore w:val="0"/>
        <w:widowControl w:val="1"/>
        <w:numPr>
          <w:ilvl w:val="1"/>
          <w:numId w:val="2"/>
        </w:numPr>
        <w:shd w:val="clear" w:color="auto" w:fill="auto"/>
        <w:suppressAutoHyphens w:val="0"/>
        <w:bidi w:val="0"/>
        <w:spacing w:before="0" w:after="200" w:line="300" w:lineRule="auto"/>
        <w:ind w:right="0"/>
        <w:jc w:val="both"/>
        <w:outlineLvl w:val="1"/>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The Provider shall be entitled to perform downtime of the Add-on from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00"/>
          <w:vertAlign w:val="baseline"/>
          <w:rtl w:val="0"/>
          <w:lang w:val="pt-PT"/>
          <w14:textOutline>
            <w14:noFill/>
          </w14:textOutline>
          <w14:textFill>
            <w14:solidFill>
              <w14:srgbClr w14:val="000000"/>
            </w14:solidFill>
          </w14:textFill>
        </w:rPr>
        <w: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clear" w:color="auto" w:fill="ffff00"/>
          <w:vertAlign w:val="baseline"/>
          <w:rtl w:val="0"/>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00"/>
          <w:vertAlign w:val="baseline"/>
          <w:rtl w:val="0"/>
          <w:lang w:val="pt-PT"/>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to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00"/>
          <w:vertAlign w:val="baseline"/>
          <w:rtl w:val="0"/>
          <w:lang w:val="pt-PT"/>
          <w14:textOutline>
            <w14:noFill/>
          </w14:textOutline>
          <w14:textFill>
            <w14:solidFill>
              <w14:srgbClr w14:val="000000"/>
            </w14:solidFill>
          </w14:textFill>
        </w:rPr>
        <w: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clear" w:color="auto" w:fill="ffff00"/>
          <w:vertAlign w:val="baseline"/>
          <w:rtl w:val="0"/>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00"/>
          <w:vertAlign w:val="baseline"/>
          <w:rtl w:val="0"/>
          <w:lang w:val="pt-P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00"/>
          <w:vertAlign w:val="baseline"/>
          <w:rtl w:val="0"/>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hours. Such downtime shall be limited to a maximum of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00"/>
          <w:vertAlign w:val="baseline"/>
          <w:rtl w:val="0"/>
          <w:lang w:val="pt-PT"/>
          <w14:textOutline>
            <w14:noFill/>
          </w14:textOutline>
          <w14:textFill>
            <w14:solidFill>
              <w14:srgbClr w14:val="000000"/>
            </w14:solidFill>
          </w14:textFill>
        </w:rPr>
        <w: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clear" w:color="auto" w:fill="ffff00"/>
          <w:vertAlign w:val="baseline"/>
          <w:rtl w:val="0"/>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00"/>
          <w:vertAlign w:val="baseline"/>
          <w:rtl w:val="0"/>
          <w:lang w:val="pt-P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hours per month. The Provider is obliged to inform the User of any planned downtime at least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00"/>
          <w:vertAlign w:val="baseline"/>
          <w:rtl w:val="0"/>
          <w:lang w:val="pt-PT"/>
          <w14:textOutline>
            <w14:noFill/>
          </w14:textOutline>
          <w14:textFill>
            <w14:solidFill>
              <w14:srgbClr w14:val="000000"/>
            </w14:solidFill>
          </w14:textFill>
        </w:rPr>
        <w: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clear" w:color="auto" w:fill="ffff00"/>
          <w:vertAlign w:val="baseline"/>
          <w:rtl w:val="0"/>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00"/>
          <w:vertAlign w:val="baseline"/>
          <w:rtl w:val="0"/>
          <w:lang w:val="pt-P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days in advance.</w:t>
      </w:r>
    </w:p>
    <w:p>
      <w:pPr>
        <w:pStyle w:val="Default"/>
        <w:keepNext w:val="1"/>
        <w:keepLines w:val="1"/>
        <w:numPr>
          <w:ilvl w:val="0"/>
          <w:numId w:val="6"/>
        </w:numPr>
        <w:spacing w:before="0" w:after="200" w:line="300" w:lineRule="auto"/>
        <w:jc w:val="both"/>
        <w:outlineLvl w:val="0"/>
        <w:rPr>
          <w:rFonts w:ascii="Calibri" w:hAnsi="Calibri"/>
          <w:b w:val="1"/>
          <w:bCs w:val="1"/>
          <w:caps w:val="1"/>
          <w:sz w:val="22"/>
          <w:szCs w:val="22"/>
          <w:u w:color="000000"/>
          <w:lang w:val="en-US"/>
        </w:rPr>
      </w:pPr>
      <w:r>
        <w:rPr>
          <w:rFonts w:ascii="Calibri" w:hAnsi="Calibri"/>
          <w:b w:val="1"/>
          <w:bCs w:val="1"/>
          <w:caps w:val="1"/>
          <w:sz w:val="22"/>
          <w:szCs w:val="22"/>
          <w:u w:color="000000"/>
          <w:rtl w:val="0"/>
          <w:lang w:val="en-US"/>
        </w:rPr>
        <w:t>Support and maintenance</w:t>
      </w:r>
    </w:p>
    <w:p>
      <w:pPr>
        <w:keepNext w:val="0"/>
        <w:keepLines w:val="0"/>
        <w:pageBreakBefore w:val="0"/>
        <w:widowControl w:val="1"/>
        <w:numPr>
          <w:ilvl w:val="1"/>
          <w:numId w:val="6"/>
        </w:numPr>
        <w:shd w:val="clear" w:color="auto" w:fill="auto"/>
        <w:suppressAutoHyphens w:val="0"/>
        <w:bidi w:val="0"/>
        <w:spacing w:before="0" w:after="200" w:line="300" w:lineRule="auto"/>
        <w:ind w:right="0"/>
        <w:jc w:val="both"/>
        <w:outlineLvl w:val="1"/>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Provider undertakes to provide the User with technical support by telephone and e-mail. Contact details are provided on the Product page of the Add-on.</w:t>
      </w:r>
    </w:p>
    <w:p>
      <w:pPr>
        <w:keepNext w:val="0"/>
        <w:keepLines w:val="0"/>
        <w:pageBreakBefore w:val="0"/>
        <w:widowControl w:val="1"/>
        <w:numPr>
          <w:ilvl w:val="1"/>
          <w:numId w:val="6"/>
        </w:numPr>
        <w:shd w:val="clear" w:color="auto" w:fill="auto"/>
        <w:suppressAutoHyphens w:val="0"/>
        <w:bidi w:val="0"/>
        <w:spacing w:before="0" w:after="200" w:line="300" w:lineRule="auto"/>
        <w:ind w:right="0"/>
        <w:jc w:val="both"/>
        <w:outlineLvl w:val="1"/>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Provider will respond to any inquiry sent by the User within 24 hours of receipt of such inquiry, through the communication channel through which the inquiry was raised.</w:t>
      </w:r>
    </w:p>
    <w:p>
      <w:pPr>
        <w:keepNext w:val="0"/>
        <w:keepLines w:val="0"/>
        <w:pageBreakBefore w:val="0"/>
        <w:widowControl w:val="1"/>
        <w:numPr>
          <w:ilvl w:val="1"/>
          <w:numId w:val="6"/>
        </w:numPr>
        <w:shd w:val="clear" w:color="auto" w:fill="auto"/>
        <w:suppressAutoHyphens w:val="0"/>
        <w:bidi w:val="0"/>
        <w:spacing w:before="0" w:after="200" w:line="300" w:lineRule="auto"/>
        <w:ind w:right="0"/>
        <w:jc w:val="both"/>
        <w:outlineLvl w:val="1"/>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The Provider further undertakes to ensure regular maintenance and updating of the Add-on to the extent of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pt-PT"/>
          <w14:textOutline>
            <w14:noFill/>
          </w14:textOutline>
          <w14:textFill>
            <w14:solidFill>
              <w14:srgbClr w14:val="000000"/>
            </w14:solidFill>
          </w14:textFill>
        </w:rPr>
        <w:t>[</w:t>
      </w:r>
      <w:r>
        <w:rPr>
          <w:rFonts w:ascii="Calibri" w:cs="Arial Unicode MS" w:hAnsi="Calibri" w:eastAsia="Arial Unicode MS"/>
          <w:b w:val="0"/>
          <w:bCs w:val="0"/>
          <w:i w:val="1"/>
          <w:iCs w:val="1"/>
          <w:caps w:val="0"/>
          <w:smallCaps w:val="0"/>
          <w:strike w:val="0"/>
          <w:dstrike w:val="0"/>
          <w:outline w:val="0"/>
          <w:color w:val="000000"/>
          <w:spacing w:val="0"/>
          <w:kern w:val="0"/>
          <w:position w:val="0"/>
          <w:sz w:val="22"/>
          <w:szCs w:val="22"/>
          <w:u w:val="none" w:color="000000"/>
          <w:shd w:val="clear" w:color="auto" w:fill="ffff00"/>
          <w:vertAlign w:val="baseline"/>
          <w:rtl w:val="0"/>
          <w14:textOutline>
            <w14:noFill/>
          </w14:textOutline>
          <w14:textFill>
            <w14:solidFill>
              <w14:srgbClr w14:val="000000"/>
            </w14:solidFill>
          </w14:textFill>
        </w:rPr>
        <w:t>p</w:t>
      </w:r>
      <w:r>
        <w:rPr>
          <w:rFonts w:ascii="Calibri" w:cs="Arial Unicode MS" w:hAnsi="Calibri" w:eastAsia="Arial Unicode MS"/>
          <w:b w:val="0"/>
          <w:bCs w:val="0"/>
          <w:i w:val="1"/>
          <w:iCs w:val="1"/>
          <w:caps w:val="0"/>
          <w:smallCaps w:val="0"/>
          <w:strike w:val="0"/>
          <w:dstrike w:val="0"/>
          <w:outline w:val="0"/>
          <w:color w:val="000000"/>
          <w:spacing w:val="0"/>
          <w:kern w:val="0"/>
          <w:position w:val="0"/>
          <w:sz w:val="22"/>
          <w:szCs w:val="22"/>
          <w:u w:val="none" w:color="000000"/>
          <w:shd w:val="clear" w:color="auto" w:fill="ffff00"/>
          <w:vertAlign w:val="baseline"/>
          <w:rtl w:val="0"/>
          <w14:textOutline>
            <w14:noFill/>
          </w14:textOutline>
          <w14:textFill>
            <w14:solidFill>
              <w14:srgbClr w14:val="000000"/>
            </w14:solidFill>
          </w14:textFill>
        </w:rPr>
        <w:t>lease add</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pt-P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 and to carry out activities aimed at detecting defects in the Add-on. The Provider undertakes to rectify any defects discovered within a period of time appropriate to their severity.</w:t>
      </w:r>
    </w:p>
    <w:p>
      <w:pPr>
        <w:pStyle w:val="Default"/>
        <w:numPr>
          <w:ilvl w:val="0"/>
          <w:numId w:val="2"/>
        </w:numPr>
        <w:spacing w:before="0" w:after="200" w:line="300" w:lineRule="auto"/>
        <w:jc w:val="both"/>
        <w:outlineLvl w:val="0"/>
        <w:rPr>
          <w:rFonts w:ascii="Calibri" w:hAnsi="Calibri"/>
          <w:b w:val="1"/>
          <w:bCs w:val="1"/>
          <w:caps w:val="1"/>
          <w:sz w:val="22"/>
          <w:szCs w:val="22"/>
          <w:u w:color="000000"/>
        </w:rPr>
      </w:pPr>
      <w:r>
        <w:rPr>
          <w:rFonts w:ascii="Calibri" w:hAnsi="Calibri"/>
          <w:b w:val="1"/>
          <w:bCs w:val="1"/>
          <w:caps w:val="1"/>
          <w:sz w:val="22"/>
          <w:szCs w:val="22"/>
          <w:u w:color="000000"/>
          <w:rtl w:val="0"/>
        </w:rPr>
        <w:t>LIABILITY</w:t>
      </w:r>
    </w:p>
    <w:p>
      <w:pPr>
        <w:keepNext w:val="0"/>
        <w:keepLines w:val="0"/>
        <w:pageBreakBefore w:val="0"/>
        <w:widowControl w:val="1"/>
        <w:numPr>
          <w:ilvl w:val="1"/>
          <w:numId w:val="2"/>
        </w:numPr>
        <w:shd w:val="clear" w:color="auto" w:fill="auto"/>
        <w:suppressAutoHyphens w:val="0"/>
        <w:bidi w:val="0"/>
        <w:spacing w:before="0" w:after="200" w:line="300" w:lineRule="auto"/>
        <w:ind w:right="0"/>
        <w:jc w:val="both"/>
        <w:outlineLvl w:val="1"/>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All liability for defects in the Add-on shall be borne solely by the Provider.</w:t>
      </w:r>
    </w:p>
    <w:p>
      <w:pPr>
        <w:keepNext w:val="0"/>
        <w:keepLines w:val="0"/>
        <w:pageBreakBefore w:val="0"/>
        <w:widowControl w:val="1"/>
        <w:numPr>
          <w:ilvl w:val="1"/>
          <w:numId w:val="2"/>
        </w:numPr>
        <w:shd w:val="clear" w:color="auto" w:fill="auto"/>
        <w:suppressAutoHyphens w:val="0"/>
        <w:bidi w:val="0"/>
        <w:spacing w:before="0" w:after="200" w:line="300" w:lineRule="auto"/>
        <w:ind w:right="0"/>
        <w:jc w:val="both"/>
        <w:outlineLvl w:val="1"/>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Provider shall also be liable for any damage or other detriment arising from a breach of its obligations arising from the provision of the Add-on to the User or from any contract concluded between the Provider and the User regarding the Add-on.</w:t>
      </w:r>
    </w:p>
    <w:p>
      <w:pPr>
        <w:keepNext w:val="0"/>
        <w:keepLines w:val="0"/>
        <w:pageBreakBefore w:val="0"/>
        <w:widowControl w:val="1"/>
        <w:numPr>
          <w:ilvl w:val="1"/>
          <w:numId w:val="2"/>
        </w:numPr>
        <w:shd w:val="clear" w:color="auto" w:fill="auto"/>
        <w:suppressAutoHyphens w:val="0"/>
        <w:bidi w:val="0"/>
        <w:spacing w:before="0" w:after="200" w:line="300" w:lineRule="auto"/>
        <w:ind w:right="0"/>
        <w:jc w:val="both"/>
        <w:outlineLvl w:val="1"/>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The User acknowledges that Shoptet shall not be liable for any legal or factual defects of the Add-on, nor shall it be liable for any damage or other harm resulting from any breach of the Provider's obligations under the Agreement or these Terms and Conditions. Shoptet shall not be liable for the level of availability of the Add-on, its current or future compatibility or for the conformity of the description of the Add-on functionalities with the actual functionality of the Add-on.</w:t>
      </w:r>
    </w:p>
    <w:p>
      <w:pPr>
        <w:keepNext w:val="0"/>
        <w:keepLines w:val="0"/>
        <w:pageBreakBefore w:val="0"/>
        <w:widowControl w:val="1"/>
        <w:numPr>
          <w:ilvl w:val="1"/>
          <w:numId w:val="2"/>
        </w:numPr>
        <w:shd w:val="clear" w:color="auto" w:fill="auto"/>
        <w:suppressAutoHyphens w:val="0"/>
        <w:bidi w:val="0"/>
        <w:spacing w:before="0" w:after="200" w:line="300" w:lineRule="auto"/>
        <w:ind w:right="0"/>
        <w:jc w:val="both"/>
        <w:outlineLvl w:val="1"/>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 xml:space="preserve">For the purpose of exercising rights from defective performance, the Provider provides the following contact details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pt-PT"/>
          <w14:textOutline>
            <w14:noFill/>
          </w14:textOutline>
          <w14:textFill>
            <w14:solidFill>
              <w14:srgbClr w14:val="000000"/>
            </w14:solidFill>
          </w14:textFill>
        </w:rPr>
        <w:t>[</w:t>
      </w:r>
      <w:r>
        <w:rPr>
          <w:rFonts w:ascii="Calibri" w:cs="Arial Unicode MS" w:hAnsi="Calibri" w:eastAsia="Arial Unicode MS"/>
          <w:b w:val="0"/>
          <w:bCs w:val="0"/>
          <w:i w:val="1"/>
          <w:iCs w:val="1"/>
          <w:caps w:val="0"/>
          <w:smallCaps w:val="0"/>
          <w:strike w:val="0"/>
          <w:dstrike w:val="0"/>
          <w:outline w:val="0"/>
          <w:color w:val="000000"/>
          <w:spacing w:val="0"/>
          <w:kern w:val="0"/>
          <w:position w:val="0"/>
          <w:sz w:val="22"/>
          <w:szCs w:val="22"/>
          <w:u w:val="none" w:color="000000"/>
          <w:shd w:val="clear" w:color="auto" w:fill="ffff00"/>
          <w:vertAlign w:val="baseline"/>
          <w:rtl w:val="0"/>
          <w14:textOutline>
            <w14:noFill/>
          </w14:textOutline>
          <w14:textFill>
            <w14:solidFill>
              <w14:srgbClr w14:val="000000"/>
            </w14:solidFill>
          </w14:textFill>
        </w:rPr>
        <w:t>p</w:t>
      </w:r>
      <w:r>
        <w:rPr>
          <w:rFonts w:ascii="Calibri" w:cs="Arial Unicode MS" w:hAnsi="Calibri" w:eastAsia="Arial Unicode MS"/>
          <w:b w:val="0"/>
          <w:bCs w:val="0"/>
          <w:i w:val="1"/>
          <w:iCs w:val="1"/>
          <w:caps w:val="0"/>
          <w:smallCaps w:val="0"/>
          <w:strike w:val="0"/>
          <w:dstrike w:val="0"/>
          <w:outline w:val="0"/>
          <w:color w:val="000000"/>
          <w:spacing w:val="0"/>
          <w:kern w:val="0"/>
          <w:position w:val="0"/>
          <w:sz w:val="22"/>
          <w:szCs w:val="22"/>
          <w:u w:val="none" w:color="000000"/>
          <w:shd w:val="clear" w:color="auto" w:fill="ffff00"/>
          <w:vertAlign w:val="baseline"/>
          <w:rtl w:val="0"/>
          <w14:textOutline>
            <w14:noFill/>
          </w14:textOutline>
          <w14:textFill>
            <w14:solidFill>
              <w14:srgbClr w14:val="000000"/>
            </w14:solidFill>
          </w14:textFill>
        </w:rPr>
        <w:t>lease add</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pt-P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t>.</w:t>
      </w:r>
    </w:p>
    <w:p>
      <w:pPr>
        <w:keepNext w:val="0"/>
        <w:keepLines w:val="0"/>
        <w:pageBreakBefore w:val="0"/>
        <w:widowControl w:val="1"/>
        <w:shd w:val="clear" w:color="auto" w:fill="auto"/>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suppressAutoHyphens w:val="0"/>
        <w:bidi w:val="0"/>
        <w:spacing w:before="0" w:after="200" w:line="300" w:lineRule="auto"/>
        <w:ind w:left="0" w:right="0" w:firstLine="0"/>
        <w:jc w:val="both"/>
        <w:outlineLvl w:val="1"/>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noFill/>
          </w14:textOutline>
          <w14:textFill>
            <w14:solidFill>
              <w14:srgbClr w14:val="000000"/>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567" w:hanging="56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999" w:hanging="63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tabs>
          <w:tab w:val="left" w:pos="737"/>
          <w:tab w:val="left" w:pos="2211"/>
          <w:tab w:val="left" w:pos="2948"/>
          <w:tab w:val="left" w:pos="3685"/>
          <w:tab w:val="left" w:pos="4422"/>
          <w:tab w:val="left" w:pos="5159"/>
          <w:tab w:val="left" w:pos="5896"/>
          <w:tab w:val="left" w:pos="6633"/>
          <w:tab w:val="left" w:pos="7370"/>
          <w:tab w:val="left" w:pos="8107"/>
          <w:tab w:val="left" w:pos="8844"/>
          <w:tab w:val="left" w:pos="9581"/>
        </w:tabs>
        <w:ind w:left="1503" w:hanging="78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2007" w:hanging="92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2511" w:hanging="107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3015" w:hanging="121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3519" w:hanging="135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4095" w:hanging="157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128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200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27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344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416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488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5607"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632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7047"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 w:ilvl="0">
        <w:start w:val="2"/>
        <w:numFmt w:val="decimal"/>
        <w:suff w:val="tab"/>
        <w:lvlText w:val="%1."/>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567" w:hanging="56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567" w:hanging="56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999" w:hanging="63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tabs>
            <w:tab w:val="left" w:pos="737"/>
            <w:tab w:val="left" w:pos="2211"/>
            <w:tab w:val="left" w:pos="2948"/>
            <w:tab w:val="left" w:pos="3685"/>
            <w:tab w:val="left" w:pos="4422"/>
            <w:tab w:val="left" w:pos="5159"/>
            <w:tab w:val="left" w:pos="5896"/>
            <w:tab w:val="left" w:pos="6633"/>
            <w:tab w:val="left" w:pos="7370"/>
            <w:tab w:val="left" w:pos="8107"/>
            <w:tab w:val="left" w:pos="8844"/>
            <w:tab w:val="left" w:pos="9581"/>
          </w:tabs>
          <w:ind w:left="1503" w:hanging="78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2007" w:hanging="92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2511" w:hanging="107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3015" w:hanging="121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3519" w:hanging="135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4095" w:hanging="157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decimal"/>
        <w:suff w:val="tab"/>
        <w:lvlText w:val="%1."/>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35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567" w:hanging="56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999" w:hanging="63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1.%2.%3.%4."/>
        <w:lvlJc w:val="left"/>
        <w:pPr>
          <w:tabs>
            <w:tab w:val="left" w:pos="737"/>
            <w:tab w:val="left" w:pos="2211"/>
            <w:tab w:val="left" w:pos="2948"/>
            <w:tab w:val="left" w:pos="3685"/>
            <w:tab w:val="left" w:pos="4422"/>
            <w:tab w:val="left" w:pos="5159"/>
            <w:tab w:val="left" w:pos="5896"/>
            <w:tab w:val="left" w:pos="6633"/>
            <w:tab w:val="left" w:pos="7370"/>
            <w:tab w:val="left" w:pos="8107"/>
            <w:tab w:val="left" w:pos="8844"/>
            <w:tab w:val="left" w:pos="9581"/>
          </w:tabs>
          <w:ind w:left="1503" w:hanging="78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1.%2.%3.%4.%5."/>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2007" w:hanging="927"/>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1.%2.%3.%4.%5.%6."/>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2511" w:hanging="1071"/>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1.%2.%3.%4.%5.%6.%7."/>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3015" w:hanging="121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1.%2.%3.%4.%5.%6.%7.%8."/>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3519" w:hanging="1359"/>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1.%2.%3.%4.%5.%6.%7.%8.%9."/>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581"/>
          </w:tabs>
          <w:ind w:left="4095" w:hanging="1575"/>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3">
    <w:name w:val="Imported Style 3"/>
    <w:pPr>
      <w:numPr>
        <w:numId w:val="3"/>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6" ma:contentTypeDescription="Vytvoří nový dokument" ma:contentTypeScope="" ma:versionID="2a55ad3a502e08a5bd44bffadff02781">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904ffbfca8051bbfbeb61c3d0b6e81dd"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23a71b4f-778e-4f51-9332-6c79928e6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80a2a932-a7fc-4776-8ffb-ba25a24a8ac0}" ma:internalName="TaxCatchAll" ma:showField="CatchAllData" ma:web="41136de7-710f-45b1-96fb-1095091282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43990-EC14-49CC-BB1B-E11CAEC10FAA}"/>
</file>

<file path=customXml/itemProps2.xml><?xml version="1.0" encoding="utf-8"?>
<ds:datastoreItem xmlns:ds="http://schemas.openxmlformats.org/officeDocument/2006/customXml" ds:itemID="{F188056B-12A7-4B24-A9EC-8B56E64FB44F}"/>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